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1" w:rsidRDefault="00046E11" w:rsidP="001E29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</w:pPr>
      <w:bookmarkStart w:id="0" w:name="_GoBack"/>
      <w:r w:rsidRPr="00046E11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Plant and Equipment</w:t>
      </w:r>
    </w:p>
    <w:bookmarkEnd w:id="0"/>
    <w:p w:rsidR="001E29EA" w:rsidRPr="00046E11" w:rsidRDefault="001E29EA" w:rsidP="001E29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</w:pPr>
    </w:p>
    <w:p w:rsidR="00046E11" w:rsidRPr="00046E11" w:rsidRDefault="00046E11" w:rsidP="00046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hyperlink r:id="rId4" w:history="1">
        <w:r w:rsidRPr="001E29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en-IN"/>
          </w:rPr>
          <w:t>fixed assets</w:t>
        </w:r>
      </w:hyperlink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used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to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produce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goods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for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a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company.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A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factory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and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machinery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therein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are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common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examples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of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plant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and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equipment.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On a </w:t>
      </w:r>
      <w:hyperlink r:id="rId5" w:history="1">
        <w:r w:rsidRPr="001E29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en-IN"/>
          </w:rPr>
          <w:t>balance sheet</w:t>
        </w:r>
      </w:hyperlink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,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plant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and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equipment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are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recorded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according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to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their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hyperlink r:id="rId6" w:history="1">
        <w:r w:rsidRPr="001E29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en-IN"/>
          </w:rPr>
          <w:t>historical cost</w:t>
        </w:r>
      </w:hyperlink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. It is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important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to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note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that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historical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cost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of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net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plant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and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equipment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usually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bears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little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or no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relationship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to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market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value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after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they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have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been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held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for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several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years.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They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are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also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called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net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plant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and</w:t>
      </w:r>
      <w:r w:rsidRPr="00046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</w:t>
      </w:r>
      <w:r w:rsidRPr="001E2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equipment.</w:t>
      </w:r>
    </w:p>
    <w:p w:rsidR="00940A2C" w:rsidRPr="001E29EA" w:rsidRDefault="00940A2C">
      <w:pPr>
        <w:rPr>
          <w:b/>
          <w:bCs/>
          <w:sz w:val="24"/>
          <w:szCs w:val="22"/>
        </w:rPr>
      </w:pPr>
    </w:p>
    <w:p w:rsidR="001E29EA" w:rsidRPr="001E29EA" w:rsidRDefault="001E29EA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E29E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1E29EA">
        <w:rPr>
          <w:rFonts w:ascii="Times New Roman" w:hAnsi="Times New Roman" w:cs="Times New Roman"/>
          <w:b/>
          <w:bCs/>
          <w:sz w:val="28"/>
          <w:szCs w:val="24"/>
        </w:rPr>
        <w:t>Property, plant, and equipment (PP&amp;E) are long-term assets vital to business operations and not easily converted into cash. Property, plant, and equipment</w:t>
      </w:r>
      <w:r w:rsidRPr="001E29EA">
        <w:rPr>
          <w:rStyle w:val="Strong"/>
          <w:rFonts w:ascii="Times New Roman" w:hAnsi="Times New Roman" w:cs="Times New Roman"/>
          <w:b w:val="0"/>
          <w:bCs w:val="0"/>
          <w:sz w:val="28"/>
          <w:szCs w:val="24"/>
        </w:rPr>
        <w:t> </w:t>
      </w:r>
      <w:r w:rsidRPr="001E29EA">
        <w:rPr>
          <w:rFonts w:ascii="Times New Roman" w:hAnsi="Times New Roman" w:cs="Times New Roman"/>
          <w:b/>
          <w:bCs/>
          <w:sz w:val="28"/>
          <w:szCs w:val="24"/>
        </w:rPr>
        <w:t>are tangible assets, meaning they are physical in nature or can be touched. The total value of PP&amp;E can range from very low to extremely high compared to total assets.</w:t>
      </w:r>
    </w:p>
    <w:sectPr w:rsidR="001E29EA" w:rsidRPr="001E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1"/>
    <w:rsid w:val="00046E11"/>
    <w:rsid w:val="001E29EA"/>
    <w:rsid w:val="009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05B8-78C0-4EB5-87B1-EE73A5F3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04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E1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vr">
    <w:name w:val="hvr"/>
    <w:basedOn w:val="DefaultParagraphFont"/>
    <w:rsid w:val="00046E11"/>
  </w:style>
  <w:style w:type="character" w:styleId="Hyperlink">
    <w:name w:val="Hyperlink"/>
    <w:basedOn w:val="DefaultParagraphFont"/>
    <w:uiPriority w:val="99"/>
    <w:semiHidden/>
    <w:unhideWhenUsed/>
    <w:rsid w:val="00046E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ial-dictionary.thefreedictionary.com/historical+cost" TargetMode="External"/><Relationship Id="rId5" Type="http://schemas.openxmlformats.org/officeDocument/2006/relationships/hyperlink" Target="https://financial-dictionary.thefreedictionary.com/balance+sheet" TargetMode="External"/><Relationship Id="rId4" Type="http://schemas.openxmlformats.org/officeDocument/2006/relationships/hyperlink" Target="https://financial-dictionary.thefreedictionary.com/fixed+a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2020-06-05T15:17:00Z</dcterms:created>
  <dcterms:modified xsi:type="dcterms:W3CDTF">2020-06-05T15:34:00Z</dcterms:modified>
</cp:coreProperties>
</file>